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73508" w:rsidRDefault="00FC6A37">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Name:</w:t>
      </w:r>
    </w:p>
    <w:p w14:paraId="00000002" w14:textId="77777777" w:rsidR="00A73508" w:rsidRDefault="00A73508">
      <w:pPr>
        <w:spacing w:line="480" w:lineRule="auto"/>
        <w:ind w:left="2160" w:firstLine="720"/>
        <w:rPr>
          <w:rFonts w:ascii="Times New Roman" w:eastAsia="Times New Roman" w:hAnsi="Times New Roman" w:cs="Times New Roman"/>
          <w:sz w:val="24"/>
          <w:szCs w:val="24"/>
        </w:rPr>
      </w:pPr>
    </w:p>
    <w:p w14:paraId="00000003" w14:textId="77777777" w:rsidR="00A73508" w:rsidRDefault="00A73508">
      <w:pPr>
        <w:spacing w:line="480" w:lineRule="auto"/>
        <w:ind w:left="2160" w:firstLine="720"/>
        <w:rPr>
          <w:rFonts w:ascii="Times New Roman" w:eastAsia="Times New Roman" w:hAnsi="Times New Roman" w:cs="Times New Roman"/>
          <w:sz w:val="24"/>
          <w:szCs w:val="24"/>
        </w:rPr>
      </w:pPr>
    </w:p>
    <w:p w14:paraId="00000004" w14:textId="77777777" w:rsidR="00A73508" w:rsidRDefault="00A73508">
      <w:pPr>
        <w:spacing w:line="480" w:lineRule="auto"/>
        <w:ind w:left="2160" w:firstLine="720"/>
        <w:rPr>
          <w:rFonts w:ascii="Times New Roman" w:eastAsia="Times New Roman" w:hAnsi="Times New Roman" w:cs="Times New Roman"/>
          <w:sz w:val="24"/>
          <w:szCs w:val="24"/>
        </w:rPr>
      </w:pPr>
    </w:p>
    <w:p w14:paraId="00000005" w14:textId="77777777" w:rsidR="00A73508" w:rsidRDefault="00A73508">
      <w:pPr>
        <w:spacing w:line="480" w:lineRule="auto"/>
        <w:ind w:left="2160" w:firstLine="720"/>
        <w:rPr>
          <w:rFonts w:ascii="Times New Roman" w:eastAsia="Times New Roman" w:hAnsi="Times New Roman" w:cs="Times New Roman"/>
          <w:sz w:val="24"/>
          <w:szCs w:val="24"/>
        </w:rPr>
      </w:pPr>
    </w:p>
    <w:p w14:paraId="00000006" w14:textId="77777777" w:rsidR="00A73508" w:rsidRDefault="00A73508">
      <w:pPr>
        <w:spacing w:line="480" w:lineRule="auto"/>
        <w:ind w:left="2160" w:firstLine="720"/>
        <w:rPr>
          <w:rFonts w:ascii="Times New Roman" w:eastAsia="Times New Roman" w:hAnsi="Times New Roman" w:cs="Times New Roman"/>
          <w:sz w:val="24"/>
          <w:szCs w:val="24"/>
        </w:rPr>
      </w:pPr>
    </w:p>
    <w:p w14:paraId="00000007" w14:textId="77777777" w:rsidR="00A73508" w:rsidRDefault="00A73508">
      <w:pPr>
        <w:spacing w:line="480" w:lineRule="auto"/>
        <w:ind w:left="2160" w:firstLine="720"/>
        <w:rPr>
          <w:rFonts w:ascii="Times New Roman" w:eastAsia="Times New Roman" w:hAnsi="Times New Roman" w:cs="Times New Roman"/>
          <w:sz w:val="24"/>
          <w:szCs w:val="24"/>
        </w:rPr>
      </w:pPr>
    </w:p>
    <w:p w14:paraId="00000008" w14:textId="77777777" w:rsidR="00A73508" w:rsidRDefault="00FC6A37">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Tort Liabilities Analysis</w:t>
      </w:r>
    </w:p>
    <w:p w14:paraId="00000009" w14:textId="77777777" w:rsidR="00A73508" w:rsidRDefault="00A73508">
      <w:pPr>
        <w:spacing w:line="480" w:lineRule="auto"/>
        <w:ind w:left="2160" w:firstLine="720"/>
        <w:rPr>
          <w:rFonts w:ascii="Times New Roman" w:eastAsia="Times New Roman" w:hAnsi="Times New Roman" w:cs="Times New Roman"/>
          <w:sz w:val="24"/>
          <w:szCs w:val="24"/>
        </w:rPr>
      </w:pPr>
    </w:p>
    <w:p w14:paraId="0000000A" w14:textId="77777777" w:rsidR="00A73508" w:rsidRDefault="00A73508">
      <w:pPr>
        <w:spacing w:line="480" w:lineRule="auto"/>
        <w:ind w:left="2160" w:firstLine="720"/>
        <w:rPr>
          <w:rFonts w:ascii="Times New Roman" w:eastAsia="Times New Roman" w:hAnsi="Times New Roman" w:cs="Times New Roman"/>
          <w:sz w:val="24"/>
          <w:szCs w:val="24"/>
        </w:rPr>
      </w:pPr>
    </w:p>
    <w:p w14:paraId="0000000B" w14:textId="77777777" w:rsidR="00A73508" w:rsidRDefault="00A73508">
      <w:pPr>
        <w:spacing w:line="480" w:lineRule="auto"/>
        <w:ind w:left="2160" w:firstLine="720"/>
        <w:rPr>
          <w:rFonts w:ascii="Times New Roman" w:eastAsia="Times New Roman" w:hAnsi="Times New Roman" w:cs="Times New Roman"/>
          <w:sz w:val="24"/>
          <w:szCs w:val="24"/>
        </w:rPr>
      </w:pPr>
    </w:p>
    <w:p w14:paraId="0000000C" w14:textId="77777777" w:rsidR="00A73508" w:rsidRDefault="00A73508">
      <w:pPr>
        <w:spacing w:line="480" w:lineRule="auto"/>
        <w:ind w:left="2160" w:firstLine="720"/>
        <w:rPr>
          <w:rFonts w:ascii="Times New Roman" w:eastAsia="Times New Roman" w:hAnsi="Times New Roman" w:cs="Times New Roman"/>
          <w:sz w:val="24"/>
          <w:szCs w:val="24"/>
        </w:rPr>
      </w:pPr>
    </w:p>
    <w:p w14:paraId="0000000D" w14:textId="77777777" w:rsidR="00A73508" w:rsidRDefault="00A73508">
      <w:pPr>
        <w:spacing w:line="480" w:lineRule="auto"/>
        <w:ind w:left="2160" w:firstLine="720"/>
        <w:rPr>
          <w:rFonts w:ascii="Times New Roman" w:eastAsia="Times New Roman" w:hAnsi="Times New Roman" w:cs="Times New Roman"/>
          <w:sz w:val="24"/>
          <w:szCs w:val="24"/>
        </w:rPr>
      </w:pPr>
    </w:p>
    <w:p w14:paraId="0000000E" w14:textId="77777777" w:rsidR="00A73508" w:rsidRDefault="00FC6A37">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0000000F" w14:textId="77777777" w:rsidR="00A73508" w:rsidRDefault="00FC6A37">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Course Name:</w:t>
      </w:r>
    </w:p>
    <w:p w14:paraId="00000010" w14:textId="77777777" w:rsidR="00A73508" w:rsidRDefault="00FC6A37">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Course Code:</w:t>
      </w:r>
    </w:p>
    <w:p w14:paraId="00000011" w14:textId="77777777" w:rsidR="00A73508" w:rsidRDefault="00FC6A37">
      <w:pPr>
        <w:spacing w:line="48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Paper Due Date:</w:t>
      </w:r>
    </w:p>
    <w:p w14:paraId="00000012" w14:textId="77777777" w:rsidR="00A73508" w:rsidRDefault="00A73508">
      <w:pPr>
        <w:spacing w:line="480" w:lineRule="auto"/>
        <w:ind w:left="2160" w:firstLine="720"/>
        <w:rPr>
          <w:rFonts w:ascii="Times New Roman" w:eastAsia="Times New Roman" w:hAnsi="Times New Roman" w:cs="Times New Roman"/>
          <w:sz w:val="24"/>
          <w:szCs w:val="24"/>
        </w:rPr>
      </w:pPr>
    </w:p>
    <w:p w14:paraId="00000013" w14:textId="77777777" w:rsidR="00A73508" w:rsidRDefault="00A73508">
      <w:pPr>
        <w:spacing w:line="480" w:lineRule="auto"/>
        <w:ind w:left="2160" w:firstLine="720"/>
        <w:rPr>
          <w:rFonts w:ascii="Times New Roman" w:eastAsia="Times New Roman" w:hAnsi="Times New Roman" w:cs="Times New Roman"/>
          <w:sz w:val="24"/>
          <w:szCs w:val="24"/>
        </w:rPr>
      </w:pPr>
    </w:p>
    <w:p w14:paraId="00000014" w14:textId="77777777" w:rsidR="00A73508" w:rsidRDefault="00A73508">
      <w:pPr>
        <w:spacing w:line="480" w:lineRule="auto"/>
        <w:ind w:left="2160" w:firstLine="720"/>
        <w:rPr>
          <w:rFonts w:ascii="Times New Roman" w:eastAsia="Times New Roman" w:hAnsi="Times New Roman" w:cs="Times New Roman"/>
          <w:sz w:val="24"/>
          <w:szCs w:val="24"/>
        </w:rPr>
      </w:pPr>
    </w:p>
    <w:p w14:paraId="00000015" w14:textId="77777777" w:rsidR="00A73508" w:rsidRDefault="00A73508">
      <w:pPr>
        <w:spacing w:line="480" w:lineRule="auto"/>
        <w:ind w:left="2160" w:firstLine="720"/>
        <w:rPr>
          <w:rFonts w:ascii="Times New Roman" w:eastAsia="Times New Roman" w:hAnsi="Times New Roman" w:cs="Times New Roman"/>
          <w:sz w:val="24"/>
          <w:szCs w:val="24"/>
        </w:rPr>
      </w:pPr>
    </w:p>
    <w:p w14:paraId="00000016" w14:textId="77777777" w:rsidR="00A73508" w:rsidRDefault="00A73508">
      <w:pPr>
        <w:spacing w:line="480" w:lineRule="auto"/>
        <w:ind w:left="2160" w:firstLine="720"/>
        <w:rPr>
          <w:rFonts w:ascii="Times New Roman" w:eastAsia="Times New Roman" w:hAnsi="Times New Roman" w:cs="Times New Roman"/>
          <w:sz w:val="24"/>
          <w:szCs w:val="24"/>
        </w:rPr>
      </w:pPr>
    </w:p>
    <w:p w14:paraId="00000017" w14:textId="77777777" w:rsidR="00A73508" w:rsidRDefault="00A73508">
      <w:pPr>
        <w:spacing w:line="480" w:lineRule="auto"/>
        <w:ind w:left="2160" w:firstLine="720"/>
        <w:rPr>
          <w:rFonts w:ascii="Times New Roman" w:eastAsia="Times New Roman" w:hAnsi="Times New Roman" w:cs="Times New Roman"/>
          <w:sz w:val="24"/>
          <w:szCs w:val="24"/>
        </w:rPr>
      </w:pPr>
    </w:p>
    <w:p w14:paraId="00000018" w14:textId="77777777" w:rsidR="00A73508" w:rsidRDefault="00FC6A37">
      <w:pPr>
        <w:spacing w:line="480" w:lineRule="auto"/>
        <w:ind w:left="216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Tort Liabilities Analysis</w:t>
      </w:r>
    </w:p>
    <w:p w14:paraId="00000019" w14:textId="77777777" w:rsidR="00A73508" w:rsidRDefault="00FC6A3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tort liability, the victim is reimbursed for the harm caused to them. A tort entails the act of violence where a person causes injury, damage, or harm to another. The person or party that commits the act of violence is the tortfeasor (Atiyah, 1987). The</w:t>
      </w:r>
      <w:r>
        <w:rPr>
          <w:rFonts w:ascii="Times New Roman" w:eastAsia="Times New Roman" w:hAnsi="Times New Roman" w:cs="Times New Roman"/>
          <w:sz w:val="24"/>
          <w:szCs w:val="24"/>
        </w:rPr>
        <w:t xml:space="preserve"> whole scenario of tort liability happens when a tortfeasor causes damage or harm to another person and therefore needs to reimburse the victim. Before such a verdict is reached, there must be proof of the tortfeasor being liable or responsible for the oth</w:t>
      </w:r>
      <w:r>
        <w:rPr>
          <w:rFonts w:ascii="Times New Roman" w:eastAsia="Times New Roman" w:hAnsi="Times New Roman" w:cs="Times New Roman"/>
          <w:sz w:val="24"/>
          <w:szCs w:val="24"/>
        </w:rPr>
        <w:t>er person’s harm. If found liable, then the damages will have to be paid for. Such a violation may be an outcome of breach of duty, negligence, or international actions.</w:t>
      </w:r>
    </w:p>
    <w:p w14:paraId="0000001A" w14:textId="77777777" w:rsidR="00A73508" w:rsidRDefault="00A73508">
      <w:pPr>
        <w:spacing w:line="480" w:lineRule="auto"/>
        <w:rPr>
          <w:rFonts w:ascii="Times New Roman" w:eastAsia="Times New Roman" w:hAnsi="Times New Roman" w:cs="Times New Roman"/>
          <w:sz w:val="24"/>
          <w:szCs w:val="24"/>
        </w:rPr>
      </w:pPr>
    </w:p>
    <w:p w14:paraId="0000001B" w14:textId="77777777" w:rsidR="00A73508" w:rsidRDefault="00FC6A3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case applies when Wade Garrett, a bouncer from Gabby’s Pub is hit by Tony Montana when he stumbles onto King Street after being blindsided by a bottle of Jack Daniel’s. Tony thinks that he is the victim as his car might have been damaged due to t</w:t>
      </w:r>
      <w:r>
        <w:rPr>
          <w:rFonts w:ascii="Times New Roman" w:eastAsia="Times New Roman" w:hAnsi="Times New Roman" w:cs="Times New Roman"/>
          <w:sz w:val="24"/>
          <w:szCs w:val="24"/>
        </w:rPr>
        <w:t>he carelessness of Wade Garrett. At the same time, Wade could be seen as the victim as he is the one hit and injured. According to the Torts Hypothetical’s, the tortfeasor, in this case, will be Wade because out of his careless behavior, he might have caus</w:t>
      </w:r>
      <w:r>
        <w:rPr>
          <w:rFonts w:ascii="Times New Roman" w:eastAsia="Times New Roman" w:hAnsi="Times New Roman" w:cs="Times New Roman"/>
          <w:sz w:val="24"/>
          <w:szCs w:val="24"/>
        </w:rPr>
        <w:t>ed damages to Tony’s car. In case of any damage incurred to Tony’s car, Wade will be responsible due to his negligence, and will therefore have to pay. However, the fact that Tony takes the law into his hands as he threatens to shoot Wade rules out everyth</w:t>
      </w:r>
      <w:r>
        <w:rPr>
          <w:rFonts w:ascii="Times New Roman" w:eastAsia="Times New Roman" w:hAnsi="Times New Roman" w:cs="Times New Roman"/>
          <w:sz w:val="24"/>
          <w:szCs w:val="24"/>
        </w:rPr>
        <w:t>ing. Tony is therefore regarded as the tortfeasor, for not obeying the law (Goldberg, 2005).</w:t>
      </w:r>
    </w:p>
    <w:p w14:paraId="0000001C" w14:textId="77777777" w:rsidR="00A73508" w:rsidRDefault="00A73508">
      <w:pPr>
        <w:spacing w:line="480" w:lineRule="auto"/>
        <w:rPr>
          <w:rFonts w:ascii="Times New Roman" w:eastAsia="Times New Roman" w:hAnsi="Times New Roman" w:cs="Times New Roman"/>
          <w:sz w:val="24"/>
          <w:szCs w:val="24"/>
        </w:rPr>
      </w:pPr>
    </w:p>
    <w:p w14:paraId="0000001D" w14:textId="77777777" w:rsidR="00A73508" w:rsidRDefault="00FC6A3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second case is seen when Tony Montana is bitten by person B’s pet when he tries to hold it as a form of consolation. Afterward, he is also stabbed by an angry</w:t>
      </w:r>
      <w:r>
        <w:rPr>
          <w:rFonts w:ascii="Times New Roman" w:eastAsia="Times New Roman" w:hAnsi="Times New Roman" w:cs="Times New Roman"/>
          <w:sz w:val="24"/>
          <w:szCs w:val="24"/>
        </w:rPr>
        <w:t xml:space="preserve"> mob who had seen the whole incident of Tony hitting Wade in his car. This case seems complicated because both the Gila monster’s bites and the stabs from the angry mob are fatal. On studying the case of Gila </w:t>
      </w:r>
      <w:r>
        <w:rPr>
          <w:rFonts w:ascii="Times New Roman" w:eastAsia="Times New Roman" w:hAnsi="Times New Roman" w:cs="Times New Roman"/>
          <w:sz w:val="24"/>
          <w:szCs w:val="24"/>
        </w:rPr>
        <w:lastRenderedPageBreak/>
        <w:t>monster’s bites, the tortfeasor will have to be</w:t>
      </w:r>
      <w:r>
        <w:rPr>
          <w:rFonts w:ascii="Times New Roman" w:eastAsia="Times New Roman" w:hAnsi="Times New Roman" w:cs="Times New Roman"/>
          <w:sz w:val="24"/>
          <w:szCs w:val="24"/>
        </w:rPr>
        <w:t xml:space="preserve"> person B because of bringing along the pet yet it seems dangerous to human beings. In the case of the angry mob, since no person could be held responsible, it will be ruled out. The case of Tony’s death will therefore revert to person B.</w:t>
      </w:r>
    </w:p>
    <w:p w14:paraId="0000001E" w14:textId="77777777" w:rsidR="00A73508" w:rsidRDefault="00A73508">
      <w:pPr>
        <w:spacing w:line="480" w:lineRule="auto"/>
        <w:rPr>
          <w:rFonts w:ascii="Times New Roman" w:eastAsia="Times New Roman" w:hAnsi="Times New Roman" w:cs="Times New Roman"/>
          <w:sz w:val="24"/>
          <w:szCs w:val="24"/>
        </w:rPr>
      </w:pPr>
    </w:p>
    <w:p w14:paraId="0000001F" w14:textId="77777777" w:rsidR="00A73508" w:rsidRDefault="00FC6A3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third case i</w:t>
      </w:r>
      <w:r>
        <w:rPr>
          <w:rFonts w:ascii="Times New Roman" w:eastAsia="Times New Roman" w:hAnsi="Times New Roman" w:cs="Times New Roman"/>
          <w:sz w:val="24"/>
          <w:szCs w:val="24"/>
        </w:rPr>
        <w:t>s of Brad and Angelina, who were watching the incident from afar and freaked out due to their medical condition of stroke. In the hospital, Wade, Wayne, and Hello attack Angelina because of being terrified and end up injuring her. In this case, the tortfea</w:t>
      </w:r>
      <w:r>
        <w:rPr>
          <w:rFonts w:ascii="Times New Roman" w:eastAsia="Times New Roman" w:hAnsi="Times New Roman" w:cs="Times New Roman"/>
          <w:sz w:val="24"/>
          <w:szCs w:val="24"/>
        </w:rPr>
        <w:t>sor will be the three who attacked Angelina because there is no proof for their allegation (Chapman, 1990). They will have to pay Angelina for the damages that they caused. Brad on the other hand is a victim of circumstance because there was no physical in</w:t>
      </w:r>
      <w:r>
        <w:rPr>
          <w:rFonts w:ascii="Times New Roman" w:eastAsia="Times New Roman" w:hAnsi="Times New Roman" w:cs="Times New Roman"/>
          <w:sz w:val="24"/>
          <w:szCs w:val="24"/>
        </w:rPr>
        <w:t>jury incurred by Angelina to him.</w:t>
      </w:r>
    </w:p>
    <w:p w14:paraId="00000020" w14:textId="77777777" w:rsidR="00A73508" w:rsidRDefault="00A73508">
      <w:pPr>
        <w:spacing w:line="480" w:lineRule="auto"/>
        <w:rPr>
          <w:rFonts w:ascii="Times New Roman" w:eastAsia="Times New Roman" w:hAnsi="Times New Roman" w:cs="Times New Roman"/>
          <w:sz w:val="24"/>
          <w:szCs w:val="24"/>
        </w:rPr>
      </w:pPr>
    </w:p>
    <w:p w14:paraId="00000021"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2"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3"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4"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5"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6"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7"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8" w14:textId="77777777" w:rsidR="00A73508" w:rsidRDefault="00FC6A37">
      <w:pPr>
        <w:shd w:val="clear" w:color="auto" w:fill="FFFFFF"/>
        <w:spacing w:before="120" w:after="2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References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 </w:t>
      </w:r>
      <w:hyperlink r:id="rId4">
        <w:r>
          <w:rPr>
            <w:rFonts w:ascii="Times New Roman" w:eastAsia="Times New Roman" w:hAnsi="Times New Roman" w:cs="Times New Roman"/>
            <w:sz w:val="24"/>
            <w:szCs w:val="24"/>
          </w:rPr>
          <w:t>Atiyah PS</w:t>
        </w:r>
      </w:hyperlink>
      <w:r>
        <w:rPr>
          <w:rFonts w:ascii="Times New Roman" w:eastAsia="Times New Roman" w:hAnsi="Times New Roman" w:cs="Times New Roman"/>
          <w:sz w:val="24"/>
          <w:szCs w:val="24"/>
        </w:rPr>
        <w:t xml:space="preserve">. (1987). </w:t>
      </w:r>
      <w:hyperlink r:id="rId5">
        <w:r>
          <w:rPr>
            <w:rFonts w:ascii="Times New Roman" w:eastAsia="Times New Roman" w:hAnsi="Times New Roman" w:cs="Times New Roman"/>
            <w:sz w:val="24"/>
            <w:szCs w:val="24"/>
          </w:rPr>
          <w:t>Tort Law and the Alternatives: Some Anglo-American Comparisons</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Duke Law Journal</w:t>
      </w:r>
      <w:r>
        <w:rPr>
          <w:rFonts w:ascii="Times New Roman" w:eastAsia="Times New Roman" w:hAnsi="Times New Roman" w:cs="Times New Roman"/>
          <w:sz w:val="24"/>
          <w:szCs w:val="24"/>
        </w:rPr>
        <w:t>.</w:t>
      </w:r>
    </w:p>
    <w:p w14:paraId="00000029" w14:textId="77777777" w:rsidR="00A73508" w:rsidRDefault="00FC6A37">
      <w:pPr>
        <w:shd w:val="clear" w:color="auto" w:fill="FFFFFF"/>
        <w:spacing w:before="120" w:after="20" w:line="480" w:lineRule="auto"/>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https://scholarship.law.duke.edu/dlj/vol36/iss6/3/</w:t>
        </w:r>
      </w:hyperlink>
    </w:p>
    <w:p w14:paraId="0000002A" w14:textId="77777777" w:rsidR="00A73508" w:rsidRDefault="00A73508">
      <w:pPr>
        <w:shd w:val="clear" w:color="auto" w:fill="FFFFFF"/>
        <w:spacing w:before="120" w:after="20" w:line="480" w:lineRule="auto"/>
        <w:rPr>
          <w:rFonts w:ascii="Times New Roman" w:eastAsia="Times New Roman" w:hAnsi="Times New Roman" w:cs="Times New Roman"/>
          <w:sz w:val="24"/>
          <w:szCs w:val="24"/>
        </w:rPr>
      </w:pPr>
    </w:p>
    <w:p w14:paraId="0000002B" w14:textId="77777777" w:rsidR="00A73508" w:rsidRDefault="00FC6A37">
      <w:pPr>
        <w:shd w:val="clear" w:color="auto" w:fill="FFFFFF"/>
        <w:spacing w:before="120" w:after="2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Goldberg JCP. (2005). </w:t>
      </w:r>
      <w:hyperlink r:id="rId7">
        <w:r>
          <w:rPr>
            <w:rFonts w:ascii="Times New Roman" w:eastAsia="Times New Roman" w:hAnsi="Times New Roman" w:cs="Times New Roman"/>
            <w:sz w:val="24"/>
            <w:szCs w:val="24"/>
            <w:highlight w:val="white"/>
          </w:rPr>
          <w:t>The constitutional status of tort law: Due process and the right to a law for the redress of wrongs</w:t>
        </w:r>
      </w:hyperlink>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Yale Law Journal</w:t>
      </w:r>
      <w:r>
        <w:rPr>
          <w:rFonts w:ascii="Times New Roman" w:eastAsia="Times New Roman" w:hAnsi="Times New Roman" w:cs="Times New Roman"/>
          <w:sz w:val="24"/>
          <w:szCs w:val="24"/>
          <w:highlight w:val="white"/>
        </w:rPr>
        <w:t>.</w:t>
      </w:r>
    </w:p>
    <w:p w14:paraId="0000002C" w14:textId="77777777" w:rsidR="00A73508" w:rsidRDefault="00A73508">
      <w:pPr>
        <w:shd w:val="clear" w:color="auto" w:fill="FFFFFF"/>
        <w:spacing w:before="120" w:after="20" w:line="480" w:lineRule="auto"/>
        <w:rPr>
          <w:rFonts w:ascii="Times New Roman" w:eastAsia="Times New Roman" w:hAnsi="Times New Roman" w:cs="Times New Roman"/>
          <w:sz w:val="24"/>
          <w:szCs w:val="24"/>
          <w:highlight w:val="white"/>
        </w:rPr>
      </w:pPr>
    </w:p>
    <w:p w14:paraId="0000002D" w14:textId="77777777" w:rsidR="00A73508" w:rsidRDefault="00FC6A37">
      <w:pPr>
        <w:shd w:val="clear" w:color="auto" w:fill="FFFFFF"/>
        <w:spacing w:before="120" w:after="20" w:line="480" w:lineRule="auto"/>
        <w:rPr>
          <w:rFonts w:ascii="Times New Roman" w:eastAsia="Times New Roman" w:hAnsi="Times New Roman" w:cs="Times New Roman"/>
          <w:sz w:val="24"/>
          <w:szCs w:val="24"/>
          <w:highlight w:val="white"/>
        </w:rPr>
      </w:pPr>
      <w:hyperlink r:id="rId8">
        <w:r>
          <w:rPr>
            <w:rFonts w:ascii="Times New Roman" w:eastAsia="Times New Roman" w:hAnsi="Times New Roman" w:cs="Times New Roman"/>
            <w:color w:val="1155CC"/>
            <w:sz w:val="24"/>
            <w:szCs w:val="24"/>
            <w:highlight w:val="white"/>
            <w:u w:val="single"/>
          </w:rPr>
          <w:t>https://digitalcommons.law.yale.edu/cgi/viewcontent.cgi?referer=https://www.google.com/&amp;httpsredir=1&amp;article=4990</w:t>
        </w:r>
        <w:r>
          <w:rPr>
            <w:rFonts w:ascii="Times New Roman" w:eastAsia="Times New Roman" w:hAnsi="Times New Roman" w:cs="Times New Roman"/>
            <w:color w:val="1155CC"/>
            <w:sz w:val="24"/>
            <w:szCs w:val="24"/>
            <w:highlight w:val="white"/>
            <w:u w:val="single"/>
          </w:rPr>
          <w:t>&amp;context=ylj</w:t>
        </w:r>
      </w:hyperlink>
    </w:p>
    <w:p w14:paraId="0000002E" w14:textId="77777777" w:rsidR="00A73508" w:rsidRDefault="00A73508">
      <w:pPr>
        <w:shd w:val="clear" w:color="auto" w:fill="FFFFFF"/>
        <w:spacing w:before="120" w:after="20" w:line="480" w:lineRule="auto"/>
        <w:rPr>
          <w:rFonts w:ascii="Times New Roman" w:eastAsia="Times New Roman" w:hAnsi="Times New Roman" w:cs="Times New Roman"/>
          <w:sz w:val="24"/>
          <w:szCs w:val="24"/>
          <w:highlight w:val="white"/>
        </w:rPr>
      </w:pPr>
    </w:p>
    <w:p w14:paraId="0000002F" w14:textId="77777777" w:rsidR="00A73508" w:rsidRDefault="00FC6A37">
      <w:pPr>
        <w:shd w:val="clear" w:color="auto" w:fill="FFFFFF"/>
        <w:spacing w:before="120" w:after="2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Chapman, Bruce (1990). </w:t>
      </w:r>
      <w:hyperlink r:id="rId9">
        <w:r>
          <w:rPr>
            <w:rFonts w:ascii="Times New Roman" w:eastAsia="Times New Roman" w:hAnsi="Times New Roman" w:cs="Times New Roman"/>
            <w:sz w:val="24"/>
            <w:szCs w:val="24"/>
            <w:highlight w:val="white"/>
          </w:rPr>
          <w:t>"Punitive Damages as Aggravated Damages: The Case of Contract"</w:t>
        </w:r>
      </w:hyperlink>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Canadian Business Law Journal</w:t>
      </w:r>
      <w:r>
        <w:rPr>
          <w:rFonts w:ascii="Times New Roman" w:eastAsia="Times New Roman" w:hAnsi="Times New Roman" w:cs="Times New Roman"/>
          <w:sz w:val="24"/>
          <w:szCs w:val="24"/>
          <w:highlight w:val="white"/>
        </w:rPr>
        <w:t xml:space="preserve">. </w:t>
      </w:r>
    </w:p>
    <w:p w14:paraId="00000030" w14:textId="77777777" w:rsidR="00A73508" w:rsidRDefault="00FC6A37">
      <w:pPr>
        <w:shd w:val="clear" w:color="auto" w:fill="FFFFFF"/>
        <w:spacing w:before="120" w:after="20" w:line="480" w:lineRule="auto"/>
        <w:rPr>
          <w:rFonts w:ascii="Times New Roman" w:eastAsia="Times New Roman" w:hAnsi="Times New Roman" w:cs="Times New Roman"/>
          <w:sz w:val="24"/>
          <w:szCs w:val="24"/>
          <w:highlight w:val="white"/>
        </w:rPr>
      </w:pPr>
      <w:hyperlink r:id="rId10">
        <w:r>
          <w:rPr>
            <w:rFonts w:ascii="Times New Roman" w:eastAsia="Times New Roman" w:hAnsi="Times New Roman" w:cs="Times New Roman"/>
            <w:color w:val="1155CC"/>
            <w:sz w:val="24"/>
            <w:szCs w:val="24"/>
            <w:highlight w:val="white"/>
            <w:u w:val="single"/>
          </w:rPr>
          <w:t>https://sites.google.com/a/d.asmaa.work/a569/HomeGarden/tort</w:t>
        </w:r>
      </w:hyperlink>
    </w:p>
    <w:p w14:paraId="00000031" w14:textId="77777777" w:rsidR="00A73508" w:rsidRDefault="00A73508">
      <w:pPr>
        <w:shd w:val="clear" w:color="auto" w:fill="FFFFFF"/>
        <w:spacing w:before="120" w:after="20" w:line="480" w:lineRule="auto"/>
        <w:rPr>
          <w:rFonts w:ascii="Times New Roman" w:eastAsia="Times New Roman" w:hAnsi="Times New Roman" w:cs="Times New Roman"/>
          <w:sz w:val="24"/>
          <w:szCs w:val="24"/>
          <w:highlight w:val="white"/>
        </w:rPr>
      </w:pPr>
    </w:p>
    <w:p w14:paraId="00000032" w14:textId="77777777" w:rsidR="00A73508" w:rsidRDefault="00A73508">
      <w:pPr>
        <w:spacing w:line="480" w:lineRule="auto"/>
        <w:rPr>
          <w:rFonts w:ascii="Times New Roman" w:eastAsia="Times New Roman" w:hAnsi="Times New Roman" w:cs="Times New Roman"/>
          <w:sz w:val="24"/>
          <w:szCs w:val="24"/>
        </w:rPr>
      </w:pPr>
    </w:p>
    <w:p w14:paraId="00000033" w14:textId="77777777" w:rsidR="00A73508" w:rsidRDefault="00A73508">
      <w:pPr>
        <w:spacing w:line="480" w:lineRule="auto"/>
        <w:rPr>
          <w:rFonts w:ascii="Times New Roman" w:eastAsia="Times New Roman" w:hAnsi="Times New Roman" w:cs="Times New Roman"/>
          <w:sz w:val="24"/>
          <w:szCs w:val="24"/>
        </w:rPr>
      </w:pPr>
    </w:p>
    <w:p w14:paraId="00000034" w14:textId="77777777" w:rsidR="00A73508" w:rsidRDefault="00A73508">
      <w:pPr>
        <w:spacing w:line="480" w:lineRule="auto"/>
        <w:rPr>
          <w:rFonts w:ascii="Times New Roman" w:eastAsia="Times New Roman" w:hAnsi="Times New Roman" w:cs="Times New Roman"/>
          <w:sz w:val="24"/>
          <w:szCs w:val="24"/>
        </w:rPr>
      </w:pPr>
    </w:p>
    <w:sectPr w:rsidR="00A7350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508"/>
    <w:rsid w:val="00A73508"/>
    <w:rsid w:val="00FC6A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E1F4398D-F8AA-884E-B418-5109B4EA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digitalcommons.law.yale.edu/cgi/viewcontent.cgi?referer=https://www.google.com/&amp;httpsredir=1&amp;article=4990&amp;context=ylj" TargetMode="External" /><Relationship Id="rId3" Type="http://schemas.openxmlformats.org/officeDocument/2006/relationships/webSettings" Target="webSettings.xml" /><Relationship Id="rId7" Type="http://schemas.openxmlformats.org/officeDocument/2006/relationships/hyperlink" Target="https://ssrn.com/abstract=789784"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scholarship.law.duke.edu/dlj/vol36/iss6/3/" TargetMode="External" /><Relationship Id="rId11" Type="http://schemas.openxmlformats.org/officeDocument/2006/relationships/fontTable" Target="fontTable.xml" /><Relationship Id="rId5" Type="http://schemas.openxmlformats.org/officeDocument/2006/relationships/hyperlink" Target="http://scholarship.law.duke.edu/cgi/viewcontent.cgi?article=3011&amp;context=dlj" TargetMode="External" /><Relationship Id="rId10" Type="http://schemas.openxmlformats.org/officeDocument/2006/relationships/hyperlink" Target="https://sites.google.com/a/d.asmaa.work/a569/HomeGarden/tort" TargetMode="External" /><Relationship Id="rId4" Type="http://schemas.openxmlformats.org/officeDocument/2006/relationships/hyperlink" Target="https://en.wikipedia.org/wiki/Patrick_Atiyah" TargetMode="External" /><Relationship Id="rId9" Type="http://schemas.openxmlformats.org/officeDocument/2006/relationships/hyperlink" Target="https://ssrn.com/abstract=11519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3523</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254716226303</cp:lastModifiedBy>
  <cp:revision>2</cp:revision>
  <dcterms:created xsi:type="dcterms:W3CDTF">2020-11-08T10:29:00Z</dcterms:created>
  <dcterms:modified xsi:type="dcterms:W3CDTF">2020-11-08T10:29:00Z</dcterms:modified>
</cp:coreProperties>
</file>